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A962" w14:textId="5023248F" w:rsidR="006D111D" w:rsidRPr="00F17A84" w:rsidRDefault="006D111D" w:rsidP="00A436E4">
      <w:pPr>
        <w:pStyle w:val="Nzov"/>
        <w:spacing w:line="360" w:lineRule="auto"/>
        <w:rPr>
          <w:szCs w:val="28"/>
        </w:rPr>
      </w:pPr>
      <w:r w:rsidRPr="00F17A84">
        <w:rPr>
          <w:szCs w:val="28"/>
        </w:rPr>
        <w:t xml:space="preserve">POSUDOK </w:t>
      </w:r>
      <w:r w:rsidR="008B217F">
        <w:rPr>
          <w:szCs w:val="28"/>
        </w:rPr>
        <w:t>OPONENTKY</w:t>
      </w:r>
      <w:r w:rsidRPr="00F17A84">
        <w:rPr>
          <w:szCs w:val="28"/>
        </w:rPr>
        <w:t xml:space="preserve"> </w:t>
      </w:r>
      <w:r w:rsidR="005B0871" w:rsidRPr="005B0871">
        <w:rPr>
          <w:caps/>
          <w:szCs w:val="28"/>
        </w:rPr>
        <w:t>habilitačnej</w:t>
      </w:r>
      <w:r w:rsidRPr="00F17A84">
        <w:rPr>
          <w:szCs w:val="28"/>
        </w:rPr>
        <w:t xml:space="preserve"> PRÁCE</w:t>
      </w:r>
      <w:r w:rsidR="00AA0547" w:rsidRPr="00F17A84">
        <w:rPr>
          <w:szCs w:val="28"/>
        </w:rPr>
        <w:t xml:space="preserve"> </w:t>
      </w:r>
    </w:p>
    <w:p w14:paraId="46360658" w14:textId="77777777" w:rsidR="00F17A84" w:rsidRPr="00F17A84" w:rsidRDefault="00F17A84" w:rsidP="00A436E4">
      <w:pPr>
        <w:spacing w:line="360" w:lineRule="auto"/>
        <w:jc w:val="both"/>
        <w:rPr>
          <w:sz w:val="20"/>
        </w:rPr>
      </w:pPr>
    </w:p>
    <w:p w14:paraId="46BE1C7D" w14:textId="77777777" w:rsidR="00F17A84" w:rsidRPr="00F17A84" w:rsidRDefault="00F17A84" w:rsidP="00A436E4">
      <w:pPr>
        <w:pStyle w:val="Nzov"/>
        <w:spacing w:line="360" w:lineRule="auto"/>
        <w:jc w:val="both"/>
        <w:rPr>
          <w:sz w:val="24"/>
          <w:szCs w:val="24"/>
        </w:rPr>
      </w:pPr>
    </w:p>
    <w:p w14:paraId="0657CEAA" w14:textId="4269F308" w:rsidR="006D111D" w:rsidRPr="00F17A84" w:rsidRDefault="006D111D" w:rsidP="00A436E4">
      <w:pPr>
        <w:pStyle w:val="Nzov"/>
        <w:spacing w:line="360" w:lineRule="auto"/>
        <w:jc w:val="both"/>
        <w:rPr>
          <w:sz w:val="24"/>
          <w:szCs w:val="24"/>
        </w:rPr>
      </w:pPr>
      <w:r w:rsidRPr="00F17A84">
        <w:rPr>
          <w:sz w:val="24"/>
          <w:szCs w:val="24"/>
        </w:rPr>
        <w:t>Autor práce:</w:t>
      </w:r>
      <w:r w:rsidRPr="00F17A84">
        <w:rPr>
          <w:sz w:val="24"/>
          <w:szCs w:val="24"/>
        </w:rPr>
        <w:tab/>
      </w:r>
      <w:r w:rsidRPr="00F17A84">
        <w:rPr>
          <w:sz w:val="24"/>
          <w:szCs w:val="24"/>
        </w:rPr>
        <w:tab/>
      </w:r>
      <w:r w:rsidR="00692D0E" w:rsidRPr="00F17A84">
        <w:rPr>
          <w:sz w:val="24"/>
          <w:szCs w:val="24"/>
        </w:rPr>
        <w:tab/>
      </w:r>
      <w:r w:rsidR="00A521EE">
        <w:rPr>
          <w:sz w:val="24"/>
          <w:szCs w:val="24"/>
        </w:rPr>
        <w:t xml:space="preserve">JUDr. </w:t>
      </w:r>
      <w:r w:rsidR="005B0871">
        <w:rPr>
          <w:sz w:val="24"/>
          <w:szCs w:val="24"/>
        </w:rPr>
        <w:t>Juraj TAKÁČ, PhD.</w:t>
      </w:r>
    </w:p>
    <w:p w14:paraId="2463928E" w14:textId="6AB8149D" w:rsidR="006D111D" w:rsidRDefault="008B217F" w:rsidP="00A436E4">
      <w:pPr>
        <w:pStyle w:val="Nzov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Oponentka</w:t>
      </w:r>
      <w:r w:rsidR="00F17A84" w:rsidRPr="00F17A84">
        <w:rPr>
          <w:sz w:val="24"/>
          <w:szCs w:val="24"/>
        </w:rPr>
        <w:t xml:space="preserve"> práce</w:t>
      </w:r>
      <w:r w:rsidR="006D111D" w:rsidRPr="00F17A84">
        <w:rPr>
          <w:sz w:val="24"/>
          <w:szCs w:val="24"/>
        </w:rPr>
        <w:t>:</w:t>
      </w:r>
      <w:r w:rsidR="00116632">
        <w:rPr>
          <w:sz w:val="24"/>
          <w:szCs w:val="24"/>
        </w:rPr>
        <w:tab/>
      </w:r>
      <w:r w:rsidR="006D111D" w:rsidRPr="00F17A84">
        <w:rPr>
          <w:sz w:val="24"/>
          <w:szCs w:val="24"/>
        </w:rPr>
        <w:tab/>
      </w:r>
      <w:r w:rsidR="00265913">
        <w:rPr>
          <w:sz w:val="24"/>
          <w:szCs w:val="24"/>
        </w:rPr>
        <w:t>prof</w:t>
      </w:r>
      <w:r w:rsidR="00116632">
        <w:rPr>
          <w:sz w:val="24"/>
          <w:szCs w:val="24"/>
        </w:rPr>
        <w:t xml:space="preserve">. JUDr. Daniela </w:t>
      </w:r>
      <w:proofErr w:type="spellStart"/>
      <w:r w:rsidR="00116632">
        <w:rPr>
          <w:sz w:val="24"/>
          <w:szCs w:val="24"/>
        </w:rPr>
        <w:t>Gandžalová</w:t>
      </w:r>
      <w:proofErr w:type="spellEnd"/>
      <w:r w:rsidR="00116632">
        <w:rPr>
          <w:sz w:val="24"/>
          <w:szCs w:val="24"/>
        </w:rPr>
        <w:t>, PhD.</w:t>
      </w:r>
      <w:r w:rsidR="005B0871">
        <w:rPr>
          <w:sz w:val="24"/>
          <w:szCs w:val="24"/>
        </w:rPr>
        <w:t>,</w:t>
      </w:r>
    </w:p>
    <w:p w14:paraId="0049397E" w14:textId="0589C8AB" w:rsidR="005B0871" w:rsidRDefault="005B0871" w:rsidP="00A436E4">
      <w:pPr>
        <w:pStyle w:val="Nzov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Právnická fakulta UMB v Banskej Bystrici</w:t>
      </w:r>
    </w:p>
    <w:p w14:paraId="6D9D0233" w14:textId="6FEE8E1B" w:rsidR="00A521EE" w:rsidRDefault="00A521EE" w:rsidP="00A436E4">
      <w:pPr>
        <w:pStyle w:val="Nzov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Téma práce: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0871">
        <w:rPr>
          <w:sz w:val="24"/>
          <w:szCs w:val="24"/>
        </w:rPr>
        <w:t>Modifikácia bezpodielového spoluvlastníctva manželov</w:t>
      </w:r>
    </w:p>
    <w:p w14:paraId="687B1DAB" w14:textId="0617A637" w:rsidR="005B0871" w:rsidRDefault="005B0871" w:rsidP="00A436E4">
      <w:pPr>
        <w:pStyle w:val="Nzov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 jeho zánik za trvania manželstva</w:t>
      </w:r>
    </w:p>
    <w:p w14:paraId="441C59B1" w14:textId="63C7FF93" w:rsidR="00A521EE" w:rsidRDefault="00A521EE" w:rsidP="00A436E4">
      <w:pPr>
        <w:pStyle w:val="Nzov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Študijný odbor: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právo</w:t>
      </w:r>
    </w:p>
    <w:p w14:paraId="68AADF91" w14:textId="5984A706" w:rsidR="00A521EE" w:rsidRPr="00F17A84" w:rsidRDefault="00A521EE" w:rsidP="00A436E4">
      <w:pPr>
        <w:pStyle w:val="Nzov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Študijný program: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občianske právo</w:t>
      </w:r>
    </w:p>
    <w:p w14:paraId="07306B00" w14:textId="09C6C9F7" w:rsidR="000E6F57" w:rsidRDefault="000E6F57" w:rsidP="00A436E4">
      <w:pPr>
        <w:pStyle w:val="Nzov"/>
        <w:spacing w:line="360" w:lineRule="auto"/>
        <w:jc w:val="both"/>
        <w:rPr>
          <w:sz w:val="24"/>
          <w:szCs w:val="24"/>
        </w:rPr>
      </w:pPr>
    </w:p>
    <w:p w14:paraId="246E8AE3" w14:textId="47736B1A" w:rsidR="005B0871" w:rsidRPr="005B0871" w:rsidRDefault="005B0871" w:rsidP="00A436E4">
      <w:pPr>
        <w:pStyle w:val="Nzov"/>
        <w:spacing w:line="36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Na základe menovacieho dekrétu predsedu Vedeckej rady Právnickej fakulty UMB v Banskej Bystrici, doc. Dr. </w:t>
      </w:r>
      <w:proofErr w:type="spellStart"/>
      <w:r>
        <w:rPr>
          <w:b w:val="0"/>
          <w:bCs/>
          <w:sz w:val="24"/>
          <w:szCs w:val="24"/>
        </w:rPr>
        <w:t>iur</w:t>
      </w:r>
      <w:proofErr w:type="spellEnd"/>
      <w:r>
        <w:rPr>
          <w:b w:val="0"/>
          <w:bCs/>
          <w:sz w:val="24"/>
          <w:szCs w:val="24"/>
        </w:rPr>
        <w:t xml:space="preserve">. JUDr. Ing. Michala </w:t>
      </w:r>
      <w:proofErr w:type="spellStart"/>
      <w:r>
        <w:rPr>
          <w:b w:val="0"/>
          <w:bCs/>
          <w:sz w:val="24"/>
          <w:szCs w:val="24"/>
        </w:rPr>
        <w:t>Turošíka</w:t>
      </w:r>
      <w:proofErr w:type="spellEnd"/>
      <w:r>
        <w:rPr>
          <w:b w:val="0"/>
          <w:bCs/>
          <w:sz w:val="24"/>
          <w:szCs w:val="24"/>
        </w:rPr>
        <w:t>, PhD., zo dňa 24. apríla 2023, ktorým som bola menovaná za oponentku habilitačnej práce JUDr. Juraja Takáča, PhD., na tému „Modifikácia bezpodielového spoluvlastníctva manželov a jeho zánik za trvania manželstva“, podávam nasledujúci oponentský posudok:</w:t>
      </w:r>
    </w:p>
    <w:p w14:paraId="0D2B4326" w14:textId="77777777" w:rsidR="00AA0547" w:rsidRPr="00F17A84" w:rsidRDefault="00AA0547" w:rsidP="00A436E4">
      <w:pPr>
        <w:spacing w:line="360" w:lineRule="auto"/>
        <w:rPr>
          <w:szCs w:val="24"/>
        </w:rPr>
      </w:pPr>
    </w:p>
    <w:p w14:paraId="4FBBB0E4" w14:textId="63736471" w:rsidR="00B0420F" w:rsidRPr="00F17A84" w:rsidRDefault="00A521EE" w:rsidP="00A436E4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Aktuálnosť zvolenej témy </w:t>
      </w:r>
      <w:r w:rsidR="005B0871">
        <w:rPr>
          <w:b/>
          <w:szCs w:val="24"/>
        </w:rPr>
        <w:t>habilitačnej</w:t>
      </w:r>
      <w:r>
        <w:rPr>
          <w:b/>
          <w:szCs w:val="24"/>
        </w:rPr>
        <w:t xml:space="preserve"> práce:</w:t>
      </w:r>
    </w:p>
    <w:p w14:paraId="6E7DFB7C" w14:textId="70E5E644" w:rsidR="00B0420F" w:rsidRPr="00A521EE" w:rsidRDefault="00A436E4" w:rsidP="00A436E4">
      <w:pPr>
        <w:spacing w:line="360" w:lineRule="auto"/>
        <w:jc w:val="both"/>
      </w:pPr>
      <w:r>
        <w:t>Predkladaná habilitačná práca s názvom „Modifikácie bezpodielového spoluvlastníctva manželov a jeho zánik za trvania manželstva“ sa venuje problematike súčasnej právnej úpravy inštitútu bezpodielového spoluvlastníctva manželov s osobitným zameraním, v súlade s názvom práce, na jednotlivé zákonom umožnené modifikácie bezpodielového spoluvlastníctva manželov a jeho zánik za trvania manželstva. Keďže majetkové vzťahy medzi manželmi tvoria veľmi významnú časť rodinno-právnych vzťahov a vzhľadom na význam inštitútu BSM ako ťažiskovej úpravy majetkového spoločenstva manželov v našej právnej úprave považujem tému predloženej habilitačnej práce za aktuálnu. Je síce možné konštatovať, že nové pravidlá ekonomického života v našej spoločnosti, ktoré vytvorili po spoločensko-ekonomických zmenách širší priestor pre slobodný vývoj a iniciatívu jednotlivcov, často narážajú na pomerne rigoróznu a úzku úpravu majetkových vzťahov medzi manželmi, a preto sa už niekoľko rokov stáva stále viac aktuálnou potreba zmeny terajšej, takmer kogentnej podoby inštitútu BSM ako ťažiskovej úpravy majetkového spoločenstva manželov tak, ako ho pozná súčasná právna úprava. O novej právnej úprave majetkových vzťahov medzi manželmi sa uvažuje i v rámci prebiehajúcich rekodifikačných prác súkromného práva v SR.</w:t>
      </w:r>
    </w:p>
    <w:p w14:paraId="7225AA06" w14:textId="77777777" w:rsidR="00B0420F" w:rsidRPr="00F17A84" w:rsidRDefault="00B0420F" w:rsidP="00A436E4">
      <w:pPr>
        <w:spacing w:line="360" w:lineRule="auto"/>
        <w:ind w:left="720"/>
        <w:jc w:val="both"/>
        <w:rPr>
          <w:szCs w:val="24"/>
        </w:rPr>
      </w:pPr>
    </w:p>
    <w:p w14:paraId="29F88A43" w14:textId="78BAF8DA" w:rsidR="006D111D" w:rsidRPr="00F17A84" w:rsidRDefault="00A521EE" w:rsidP="00A436E4">
      <w:pPr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Vhodnosť štruktúry </w:t>
      </w:r>
      <w:r w:rsidR="00C26597">
        <w:rPr>
          <w:b/>
          <w:szCs w:val="24"/>
        </w:rPr>
        <w:t>habilitačnej</w:t>
      </w:r>
      <w:r>
        <w:rPr>
          <w:b/>
          <w:szCs w:val="24"/>
        </w:rPr>
        <w:t xml:space="preserve"> práce:</w:t>
      </w:r>
    </w:p>
    <w:p w14:paraId="7A9173A3" w14:textId="4DC77BD9" w:rsidR="008B217F" w:rsidRDefault="00C26597" w:rsidP="00A436E4">
      <w:pPr>
        <w:spacing w:line="360" w:lineRule="auto"/>
        <w:jc w:val="both"/>
      </w:pPr>
      <w:r>
        <w:t xml:space="preserve">Autor rozdelil systematicky svoju prácu na tri nosné kapitoly, ktoré sú členené podľa predmetu skúmania na jednotlivé čiastkové podkapitoly. V prvej kapitole sa autor logicky venuje všeobecne charakteristike inštitútu bezpodielového spoluvlastníctva. V tomto zmysle popisuje podstatu tohto inštitútu, vymedzuje, čo tvorí predmet bezpodielového spoluvlastníctva, popisuje jeho vznik a zánik, a samostatne sa v 2. a 3. podkapitole venuje jeho modifikačným aspektom. V týchto súvislostiach, v súlade s témou práce, vymedzuje podstatu rozšírenia, ako aj zúženia bezpodielového spoluvlastníctva manželov, vychádzajúc najmä z ustanovenia § 143a Občianskeho zákonníka, ako aj </w:t>
      </w:r>
      <w:r w:rsidR="007A4FA8">
        <w:t>z možnosti kreovania bezpodielového spoluvlastníctva manželov ku dňu zániku manželstva.</w:t>
      </w:r>
    </w:p>
    <w:p w14:paraId="566B49F8" w14:textId="75644E85" w:rsidR="007A4FA8" w:rsidRDefault="007A4FA8" w:rsidP="00A436E4">
      <w:pPr>
        <w:spacing w:line="360" w:lineRule="auto"/>
        <w:jc w:val="both"/>
      </w:pPr>
      <w:r>
        <w:t>V druhej kapitole analyzuje zákonné podmienky zániku bezpodielového spoluvlastníctva manželov, a to napriek skutočnosti, že samotné manželstvo naďalej existuje (trvá), s podrobnou charakteristikou každého zo zákonných dôvodov. Autor skúma následne i samotné následky zániku bezpodielového spoluvlastníctva manželov, a to ako z hľadiska postavenia samotných manželov, tak aj z hľadiska práv tretích osôb. V týchto súvislostiach sa autor osobitne venuje i možnosti zrušenia BSM a jeho prípadného obnovenia (za trvania manželstva) v prípade, ak jeden z manželov získa oprávnenie na podnikateľskú činnosť.</w:t>
      </w:r>
    </w:p>
    <w:p w14:paraId="45BC88E3" w14:textId="512E54D5" w:rsidR="007A4FA8" w:rsidRPr="007A4FA8" w:rsidRDefault="007A4FA8" w:rsidP="00A436E4">
      <w:pPr>
        <w:spacing w:line="360" w:lineRule="auto"/>
        <w:jc w:val="both"/>
      </w:pPr>
      <w:r>
        <w:t xml:space="preserve">V tretej kapitole autor poukazuje na </w:t>
      </w:r>
      <w:proofErr w:type="spellStart"/>
      <w:r>
        <w:t>historickoprávne</w:t>
      </w:r>
      <w:proofErr w:type="spellEnd"/>
      <w:r>
        <w:t xml:space="preserve"> aspekty vývoja právnej úpravy skúmanej problematiky na našom území. Osobitne by som rada vyzdvihla obsahové spracovanie podkapitoly 3.2,kde autor </w:t>
      </w:r>
      <w:proofErr w:type="spellStart"/>
      <w:r>
        <w:t>komparuje</w:t>
      </w:r>
      <w:proofErr w:type="spellEnd"/>
      <w:r>
        <w:t xml:space="preserve"> našu právnu úpravu skúmaného inštitútu s právnou úpravou majetkových vzťahov manželov vo vybraných zahraničných krajinách, konkrétne: Rakúsko, Nemecko, Francúzsko, Holandsko, a samostatnú pozornosť v tejto súvislosti venuje autor z logických dôvodov najmä českej právnej úprave. Mám za to, že i z uskutočnenej komparácie s vybranými zahraničnými úpravami získal autor dôležité poznatky, ktoré mu umožnili formulovať aj jeho úvahy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lege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ferenda</w:t>
      </w:r>
      <w:proofErr w:type="spellEnd"/>
      <w:r>
        <w:rPr>
          <w:i/>
          <w:iCs/>
        </w:rPr>
        <w:t>,</w:t>
      </w:r>
      <w:r>
        <w:t xml:space="preserve"> zhmotnené v obsahovom spracovaní poslednej kapitoly jeho práce. Systematické členenie predloženej habilitačnej práce považujem za logické a správne, vychádzajúc z témy práce, štruktúra práce bola zvolená vhodne, zohľadňuje vybrané oblasti skúmanej problematiky v súlade s témou práce.</w:t>
      </w:r>
    </w:p>
    <w:p w14:paraId="3EEFB3A5" w14:textId="77777777" w:rsidR="00B0420F" w:rsidRPr="00F17A84" w:rsidRDefault="00B0420F" w:rsidP="00A436E4">
      <w:pPr>
        <w:spacing w:line="360" w:lineRule="auto"/>
        <w:ind w:left="720"/>
        <w:jc w:val="both"/>
        <w:rPr>
          <w:szCs w:val="24"/>
        </w:rPr>
      </w:pPr>
    </w:p>
    <w:p w14:paraId="0CCB8DE5" w14:textId="6D9DB013" w:rsidR="006D111D" w:rsidRPr="00F17A84" w:rsidRDefault="0026064F" w:rsidP="00A436E4">
      <w:pPr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Metodológia spracovania problematiky:</w:t>
      </w:r>
    </w:p>
    <w:p w14:paraId="44305A5C" w14:textId="7FB290E8" w:rsidR="008B217F" w:rsidRPr="0026064F" w:rsidRDefault="007A4FA8" w:rsidP="00A436E4">
      <w:pPr>
        <w:spacing w:line="360" w:lineRule="auto"/>
        <w:jc w:val="both"/>
      </w:pPr>
      <w:r>
        <w:t xml:space="preserve">Z hľadiska metodológie spracovania problematiky, ktorá bola ťažiskovou pre túto prácu, je z jej obsahového spracovania zrejmé, že autor vychádzal zo všeobecných vedeckých metód skúmania viažucich sa na skúmanie </w:t>
      </w:r>
      <w:proofErr w:type="spellStart"/>
      <w:r>
        <w:t>teoretickoprávnych</w:t>
      </w:r>
      <w:proofErr w:type="spellEnd"/>
      <w:r>
        <w:t xml:space="preserve"> otázok, predložených výstupmi a vychádzajúcich z fundovaných odborných prameňov, ale aj z aplikačnej praxe. </w:t>
      </w:r>
      <w:r w:rsidR="00B82066">
        <w:t xml:space="preserve">Pri skúmaní </w:t>
      </w:r>
      <w:r w:rsidR="00B82066">
        <w:lastRenderedPageBreak/>
        <w:t>vybranej problematiky boli využité metódy skúmania spočívajúce jednak v analýze vybranej problematiky vychádzajúce zo skúmania jednotlivých čiastkových otázok</w:t>
      </w:r>
      <w:r w:rsidR="005B1E5F">
        <w:t xml:space="preserve"> a kreovaných oblastí výskumu, jednak v syntéze týchto oblastí s cieľom dosiahnutia uceleného a logického záveru, tiež ale v komparácii vybraných zahraničných právnych úprav skúmanej problematiky s našou právnou úpravou, a v neposlednom rade i v indukcii skutočností, vychádzajúcich</w:t>
      </w:r>
      <w:r w:rsidR="00A14B4C">
        <w:t xml:space="preserve"> z doterajšieho rekodifikačného procesu, smerujúceho k budúcej právnej úprave skúmanej oblasti v pripravovanom novom OZ SR. Je možné teda konštatovať, že autor používal pri spracovaní vybranej problematiky tradičné vedecké metódy výskumu, a to konkrétne najmä metódy právnej analýzy, syntézy, dedukcie, indukcie a tiež komparácie.</w:t>
      </w:r>
    </w:p>
    <w:p w14:paraId="7EDF96B5" w14:textId="77777777" w:rsidR="00B0420F" w:rsidRPr="00F17A84" w:rsidRDefault="00B0420F" w:rsidP="00A436E4">
      <w:pPr>
        <w:spacing w:line="360" w:lineRule="auto"/>
        <w:ind w:left="720"/>
        <w:jc w:val="both"/>
        <w:rPr>
          <w:szCs w:val="24"/>
        </w:rPr>
      </w:pPr>
    </w:p>
    <w:p w14:paraId="62A59EB4" w14:textId="16C4EE21" w:rsidR="006D111D" w:rsidRPr="00F17A84" w:rsidRDefault="0026064F" w:rsidP="00A436E4">
      <w:pPr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Využitie odborných prameňov v </w:t>
      </w:r>
      <w:r w:rsidR="00A14B4C">
        <w:rPr>
          <w:b/>
          <w:szCs w:val="24"/>
        </w:rPr>
        <w:t>habilitačnej</w:t>
      </w:r>
      <w:r>
        <w:rPr>
          <w:b/>
          <w:szCs w:val="24"/>
        </w:rPr>
        <w:t xml:space="preserve"> práci:</w:t>
      </w:r>
    </w:p>
    <w:p w14:paraId="06C65076" w14:textId="7C6F463E" w:rsidR="00B0420F" w:rsidRPr="0026064F" w:rsidRDefault="0026064F" w:rsidP="00A436E4">
      <w:pPr>
        <w:spacing w:line="360" w:lineRule="auto"/>
        <w:jc w:val="both"/>
      </w:pPr>
      <w:r>
        <w:t xml:space="preserve">Autor využil pri spracovaní svojej </w:t>
      </w:r>
      <w:r w:rsidR="0075040A">
        <w:t>habilitačnej</w:t>
      </w:r>
      <w:r>
        <w:t xml:space="preserve"> práce početné množstvo odbornej monografickej literatúry, a to ako domácej, tak i zahraničnej, časopiseckej literatúry, článkov dostupných z elektronickej databázy, zahraničné i domáce právne predpisy, a osobitne treba vyzdvihnúť početnú judikatúru najvyšších súdnych autorít, a to ako slovenských, tak i zahraničných.</w:t>
      </w:r>
    </w:p>
    <w:p w14:paraId="01097605" w14:textId="77777777" w:rsidR="00D03CCA" w:rsidRPr="00F17A84" w:rsidRDefault="00D03CCA" w:rsidP="00A436E4">
      <w:pPr>
        <w:spacing w:line="360" w:lineRule="auto"/>
        <w:ind w:left="720"/>
        <w:jc w:val="both"/>
        <w:rPr>
          <w:i/>
          <w:szCs w:val="24"/>
        </w:rPr>
      </w:pPr>
    </w:p>
    <w:p w14:paraId="6301454D" w14:textId="5855CFC5" w:rsidR="00D03CCA" w:rsidRPr="00F17A84" w:rsidRDefault="0026064F" w:rsidP="00A436E4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Hĺbka a správnosť uskutočnenej analýzy:</w:t>
      </w:r>
    </w:p>
    <w:p w14:paraId="42CC909D" w14:textId="15F4BD50" w:rsidR="00D03CCA" w:rsidRDefault="0026064F" w:rsidP="00A436E4">
      <w:pPr>
        <w:spacing w:line="360" w:lineRule="auto"/>
        <w:jc w:val="both"/>
      </w:pPr>
      <w:r>
        <w:t xml:space="preserve">V súlade </w:t>
      </w:r>
      <w:r w:rsidR="0075040A">
        <w:t xml:space="preserve">s témou habilitačnej práce autor v rámci jej obsahového spracovania podrobil analýze najmä tie ustanovenia Občianskeho zákonníka, kde tento zákon </w:t>
      </w:r>
      <w:r w:rsidR="002052C8">
        <w:t xml:space="preserve">elementárne vymedzuje, čo predstavuje inštitút bezpodielového spoluvlastníctva manželov, ako upravuje jeho rozsah, ako vzniká, kedy sa môže modifikovať a kedy zaniknúť, ale tiež, čo môže byť predmetom bezpodielového spoluvlastníctva, akým spôsobom manželia v rámci majetkovoprávnych vzťahov vystupujú voči tretím osobám, aké sú princípy nakladania a hospodárenia so spoločným majetkom, a akým spôsobom v prípade zániku bezpodielového spoluvlastníctva môže dôjsť k jeho </w:t>
      </w:r>
      <w:proofErr w:type="spellStart"/>
      <w:r w:rsidR="002052C8">
        <w:t>vyporiadaniu</w:t>
      </w:r>
      <w:proofErr w:type="spellEnd"/>
      <w:r w:rsidR="002052C8">
        <w:t>. Autor skúmal podstatu, význam, ako aj následky modifikácie BSM a jeho zánik za trvania manželstva, čo je predmetom právnej úpravy, obsiahnutej najmä v § 143a, 148 ods. 2 a 148a ods. 2 OZ. Oceniť treba, že okrem teoretickej a výkladovej stránky obsahu právnej úpravy jednotlivých ustanovení Občianskeho zákonníka autor vo svojej práci poukazuje i na špecifické otázky vyskytujúce sa v aplikačnej praxi pri výklade analyzovaných ustanovení zákona. Nevyhýba sa prejaviť a prezentovať vlastné názory a myšlienky, opierajúc sa o príslušnú judikatúru najvyšších súdnych autorít, odbornú literatúru, ktorá má zaistiť relevantnosť prezentovaných názorov a záverov.</w:t>
      </w:r>
    </w:p>
    <w:p w14:paraId="0B403F86" w14:textId="77777777" w:rsidR="0026064F" w:rsidRDefault="0026064F" w:rsidP="00A436E4">
      <w:pPr>
        <w:spacing w:line="360" w:lineRule="auto"/>
        <w:jc w:val="both"/>
      </w:pPr>
    </w:p>
    <w:p w14:paraId="1B9F6CAD" w14:textId="7826C02F" w:rsidR="0026064F" w:rsidRPr="00985757" w:rsidRDefault="00985757" w:rsidP="00A436E4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Jazyková, gramatická a štylistická úroveň spracovania textu </w:t>
      </w:r>
      <w:r w:rsidR="002052C8">
        <w:rPr>
          <w:b/>
          <w:bCs/>
        </w:rPr>
        <w:t>habilitačnej</w:t>
      </w:r>
      <w:r>
        <w:rPr>
          <w:b/>
          <w:bCs/>
        </w:rPr>
        <w:t xml:space="preserve"> práce, používanie správnej odbornej terminológie, formálne náležitosti a úprava obsahu </w:t>
      </w:r>
      <w:r w:rsidR="002052C8">
        <w:rPr>
          <w:b/>
          <w:bCs/>
        </w:rPr>
        <w:t>habilitačnej</w:t>
      </w:r>
      <w:r>
        <w:rPr>
          <w:b/>
          <w:bCs/>
        </w:rPr>
        <w:t xml:space="preserve"> práce:</w:t>
      </w:r>
    </w:p>
    <w:p w14:paraId="5B47FB69" w14:textId="08C6381E" w:rsidR="00985757" w:rsidRDefault="00985757" w:rsidP="00A436E4">
      <w:pPr>
        <w:spacing w:line="360" w:lineRule="auto"/>
        <w:jc w:val="both"/>
      </w:pPr>
      <w:r>
        <w:t xml:space="preserve">Predložená </w:t>
      </w:r>
      <w:r w:rsidR="00296ABB">
        <w:t xml:space="preserve">habilitačná </w:t>
      </w:r>
      <w:r>
        <w:t xml:space="preserve">práca aj po štylistickej, jazykovej, gramatickej, ako i po formálnej stránke </w:t>
      </w:r>
      <w:r w:rsidR="00296ABB">
        <w:t xml:space="preserve">v zásade </w:t>
      </w:r>
      <w:r>
        <w:t>zodpovedá kritériám požadovaným na tento druh prác</w:t>
      </w:r>
      <w:r w:rsidR="00296ABB">
        <w:t>, až na drobné formálne nedostatky v texte, týkajúce sa najmä predpísaných náležitostí citácií, nepresností v označení judikatúry, drobné preklepy.</w:t>
      </w:r>
    </w:p>
    <w:p w14:paraId="5D2632AF" w14:textId="77777777" w:rsidR="00985757" w:rsidRDefault="00985757" w:rsidP="00A436E4">
      <w:pPr>
        <w:spacing w:line="360" w:lineRule="auto"/>
        <w:jc w:val="both"/>
      </w:pPr>
    </w:p>
    <w:p w14:paraId="6A0A918A" w14:textId="5A5FAA82" w:rsidR="00985757" w:rsidRPr="00985757" w:rsidRDefault="00985757" w:rsidP="00A436E4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Splnenie cieľov </w:t>
      </w:r>
      <w:r w:rsidR="002052C8">
        <w:rPr>
          <w:b/>
          <w:bCs/>
        </w:rPr>
        <w:t>habilitačnej</w:t>
      </w:r>
      <w:r>
        <w:rPr>
          <w:b/>
          <w:bCs/>
        </w:rPr>
        <w:t xml:space="preserve"> práce:</w:t>
      </w:r>
    </w:p>
    <w:p w14:paraId="08382377" w14:textId="00612A4D" w:rsidR="00985757" w:rsidRPr="004E5A53" w:rsidRDefault="00985757" w:rsidP="00A436E4">
      <w:pPr>
        <w:spacing w:line="360" w:lineRule="auto"/>
        <w:jc w:val="both"/>
      </w:pPr>
      <w:r>
        <w:t xml:space="preserve">Tak ako uvádza </w:t>
      </w:r>
      <w:r w:rsidR="002052C8">
        <w:t>sám autor v texte svojej práce, hlavným cieľom jeho habilitačnej práce bolo podrobiť vedeckému výskumu slovenskú súčasnú právnu úpravu modifikácie bezpodielového spoluvlastníctva manželov a možnosti jeho zániku za trvania manželstva. Okrem toho jeho cieľom bolo tiež poukázať na možný budúci vývoj právnej úpravy tejto oblasti, a to i s poukazom a komparáciou právnej regulácie danej oblasti vo vybraných zahraničných právnych úpravách a zohľadňujúc i </w:t>
      </w:r>
      <w:proofErr w:type="spellStart"/>
      <w:r w:rsidR="002052C8">
        <w:t>právnohistorické</w:t>
      </w:r>
      <w:proofErr w:type="spellEnd"/>
      <w:r w:rsidR="002052C8">
        <w:t xml:space="preserve"> aspekty</w:t>
      </w:r>
      <w:r w:rsidR="004E5A53">
        <w:t xml:space="preserve"> právnej regulácie danej oblasti na našom území v minulosti. Vymedzenie cieľov práce autor vníma z dvoch aspektov, ako sám konštatuje. Prvý je teoretický, spočívajúci v analyzovaní súčasnej právnej úpravy, vymedzení jej podstaty, poukázaní na nedostatky, ktoré vykazuje, ako aj v priblížení rekodifikačných snáh a ich smerovanie v zmysle úvah </w:t>
      </w:r>
      <w:r w:rsidR="004E5A53">
        <w:rPr>
          <w:i/>
          <w:iCs/>
        </w:rPr>
        <w:t xml:space="preserve">de </w:t>
      </w:r>
      <w:proofErr w:type="spellStart"/>
      <w:r w:rsidR="004E5A53">
        <w:rPr>
          <w:i/>
          <w:iCs/>
        </w:rPr>
        <w:t>lege</w:t>
      </w:r>
      <w:proofErr w:type="spellEnd"/>
      <w:r w:rsidR="004E5A53">
        <w:rPr>
          <w:i/>
          <w:iCs/>
        </w:rPr>
        <w:t xml:space="preserve"> </w:t>
      </w:r>
      <w:proofErr w:type="spellStart"/>
      <w:r w:rsidR="004E5A53">
        <w:rPr>
          <w:i/>
          <w:iCs/>
        </w:rPr>
        <w:t>ferenda</w:t>
      </w:r>
      <w:proofErr w:type="spellEnd"/>
      <w:r w:rsidR="004E5A53">
        <w:rPr>
          <w:i/>
          <w:iCs/>
        </w:rPr>
        <w:t>.</w:t>
      </w:r>
      <w:r w:rsidR="004E5A53">
        <w:t xml:space="preserve"> Druhý aspekt je praktický, ktorý spočíva v snahe o čo najefektívnejšie prepojenie skúmanej problematiky s aplikačnou praxou, vychádzajúc z početnej judikatúry najvyšších súdnych autorít a z odbornej literatúry. Z obsahového spracovania textu práce je možné konštatovať, že jej autorovi sa podarilo vymedzený cieľ (ciele) naplniť, a to i s ohľadom na stanovenie troch hlavných hypotéz, ktoré autor formuloval už v rámci úvodu práce.</w:t>
      </w:r>
    </w:p>
    <w:p w14:paraId="1EA5416B" w14:textId="77777777" w:rsidR="00985757" w:rsidRDefault="00985757" w:rsidP="00A436E4">
      <w:pPr>
        <w:spacing w:line="360" w:lineRule="auto"/>
        <w:jc w:val="both"/>
      </w:pPr>
    </w:p>
    <w:p w14:paraId="4AADA04B" w14:textId="3115CB72" w:rsidR="00985757" w:rsidRPr="00985757" w:rsidRDefault="00985757" w:rsidP="00A436E4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Dosiahnuté výsledky práce, prínos práce pre ďalší rozvoj vedy, prípadne praxe a nové poznatky, ktoré </w:t>
      </w:r>
      <w:r w:rsidR="004E5A53">
        <w:rPr>
          <w:b/>
          <w:bCs/>
        </w:rPr>
        <w:t>habilitačná</w:t>
      </w:r>
      <w:r>
        <w:rPr>
          <w:b/>
          <w:bCs/>
        </w:rPr>
        <w:t xml:space="preserve"> práca prináša:</w:t>
      </w:r>
    </w:p>
    <w:p w14:paraId="7F936D13" w14:textId="3B46AD0A" w:rsidR="00985757" w:rsidRDefault="000530CB" w:rsidP="00A436E4">
      <w:pPr>
        <w:spacing w:line="360" w:lineRule="auto"/>
        <w:jc w:val="both"/>
      </w:pPr>
      <w:r>
        <w:t xml:space="preserve">Prínosom predloženej </w:t>
      </w:r>
      <w:r w:rsidR="004E5A53">
        <w:t>habilitačnej</w:t>
      </w:r>
      <w:r>
        <w:t xml:space="preserve"> práce pre</w:t>
      </w:r>
      <w:r w:rsidR="004E5A53">
        <w:t xml:space="preserve"> ďalší</w:t>
      </w:r>
      <w:r>
        <w:t xml:space="preserve"> rozvoj vedy </w:t>
      </w:r>
      <w:r w:rsidR="004E5A53">
        <w:t>(</w:t>
      </w:r>
      <w:r>
        <w:t>ale aj aplikačnej praxe</w:t>
      </w:r>
      <w:r w:rsidR="004E5A53">
        <w:t>)</w:t>
      </w:r>
      <w:r>
        <w:t xml:space="preserve"> je </w:t>
      </w:r>
      <w:r w:rsidR="004E5A53">
        <w:t>jednak</w:t>
      </w:r>
      <w:r>
        <w:t xml:space="preserve"> sumarizácia teoretických poznatkov o spracovávanej problematike</w:t>
      </w:r>
      <w:r w:rsidR="004E5A53">
        <w:t xml:space="preserve">, ale tiež predložené závery a poznatky vedeckej práce autora, ktoré môžu byť prínosné a inšpiratívne i pre legislatívu. Podnetnými v tomto zmysle môžu byť najmä názory autora, ktorých podstatou je poukázať na aktuálnu potrebu legislatívnych zmien smerujúcich k rozšíreniu zmluvnej autonómie manželov vo vzťahu modifikácie ich majetkových vzťahov. Autor poukazuje v týchto súvislostiach na možnosť samotnej transformácie bezpodielového spoluvlastníctva na </w:t>
      </w:r>
      <w:r w:rsidR="004E5A53">
        <w:lastRenderedPageBreak/>
        <w:t xml:space="preserve">majetkové spoločenstvo manželov, ktoré by malo mať z pohľadu rozsahu majetkových práv a povinností širší koncept, ako je to v súčasnosti. Autor v týchto súvislostiach poukazuje osobitne na význam inštitútu predmanželskej zmluvy, ako i na možnosti zrušenia existencie majetkového spoločenstva za trvania manželstvo na základe dohody manželov. Zaujímavé sú i úvahy autora nad ochranou postavenia manželov v rámci ich majetkových vzťahov v prípade prílišnej autonómie manželov v oblasti modifikovaného rozsahu, ako aj o rozhodovaní o samotnej existencii majetkového spoločenstva (bezpodielového spoluvlastníctva manželov). V týchto súvislostiach autor poukazuje na fakt, že okrem základných funkčných vlastností </w:t>
      </w:r>
      <w:proofErr w:type="spellStart"/>
      <w:r w:rsidR="004E5A53">
        <w:t>vecnoprávneho</w:t>
      </w:r>
      <w:proofErr w:type="spellEnd"/>
      <w:r w:rsidR="004E5A53">
        <w:t xml:space="preserve"> inštitútu bezpodielového spoluvlastníctva manželov smerujúcich k zaisteniu rovnakého postavenia manželov v rovine ich majetkového zabezpečenia, je dôležité zamerať sa aj na otázku súkromnoprávnej autonómie jednotlivca cez prizmu právneho postavenia manželov vo vzťahu k ich spoločnému majetku, možnosti rozhodovania o podobe ich vzájomných majetkovoprávnych vzťahov, čo vyvoláva a zdôvodňuje potrebu prípadného</w:t>
      </w:r>
      <w:r w:rsidR="00E43658">
        <w:t xml:space="preserve"> rozšírenia zmluvnej autonómie manželov vo vzťahu modifikácie ich majetkových vzťahov v ich budúcej právnej úprave</w:t>
      </w:r>
      <w:r w:rsidR="007E5B31">
        <w:t xml:space="preserve"> v pripravovanom novom občianskom zákonníku. Predložená habilitačná práca svojím obsahovým spracovaním ponúka jednak sumarizáciu teoretických poznatkov o skúmanej problematike, závery a poznatky vedeckej práce jej autora, poukazuje na </w:t>
      </w:r>
      <w:proofErr w:type="spellStart"/>
      <w:r w:rsidR="007E5B31">
        <w:t>historickoprávne</w:t>
      </w:r>
      <w:proofErr w:type="spellEnd"/>
      <w:r w:rsidR="007E5B31">
        <w:t xml:space="preserve"> aspekty vývoja právnej úpravy skúmanej oblasti na našom území v minulosti, prináša poznatky v právnej úprave skúmanej problematiky vo vybraných </w:t>
      </w:r>
      <w:proofErr w:type="spellStart"/>
      <w:r w:rsidR="007E5B31">
        <w:t>zahraničnoprávnych</w:t>
      </w:r>
      <w:proofErr w:type="spellEnd"/>
      <w:r w:rsidR="007E5B31">
        <w:t xml:space="preserve"> úpravách, obsahuje inšpiratívne podnety pre legislatívu a návrhy riešení špecifických okruhov problémov vyskytujúcich sa v aplikačnej praxi. Zhmotnením teoreticko-právnej stránky práce spolu so širokým spektrom judikatúry a názorových stanovísk uznávaných odborných autorít venujúcich sa danej oblasti, má predložená habilitačná práca potenciál jej využitia ako v oblasti vedy občianskeho práva, tak i v oblasti pedagogickej, ale aj aplikačnej praxe.</w:t>
      </w:r>
    </w:p>
    <w:p w14:paraId="18098D52" w14:textId="77777777" w:rsidR="000530CB" w:rsidRDefault="000530CB" w:rsidP="00A436E4">
      <w:pPr>
        <w:spacing w:line="360" w:lineRule="auto"/>
        <w:jc w:val="both"/>
      </w:pPr>
    </w:p>
    <w:p w14:paraId="4C0355D4" w14:textId="74DD1232" w:rsidR="000530CB" w:rsidRPr="000530CB" w:rsidRDefault="000530CB" w:rsidP="00A436E4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Vyjadrenie k výsledku kontroly originality </w:t>
      </w:r>
      <w:r w:rsidR="007E5B31">
        <w:rPr>
          <w:b/>
          <w:bCs/>
        </w:rPr>
        <w:t>habilitačnej</w:t>
      </w:r>
      <w:r>
        <w:rPr>
          <w:b/>
          <w:bCs/>
        </w:rPr>
        <w:t xml:space="preserve"> práce:</w:t>
      </w:r>
    </w:p>
    <w:p w14:paraId="1E864C4B" w14:textId="5F6CB517" w:rsidR="000530CB" w:rsidRDefault="000530CB" w:rsidP="00A436E4">
      <w:pPr>
        <w:spacing w:line="360" w:lineRule="auto"/>
        <w:jc w:val="both"/>
      </w:pPr>
      <w:r>
        <w:t xml:space="preserve">Výsledok kontroly originality </w:t>
      </w:r>
      <w:r w:rsidR="00BF76B0">
        <w:t>habilitačnej</w:t>
      </w:r>
      <w:r>
        <w:t xml:space="preserve"> práce je </w:t>
      </w:r>
      <w:r w:rsidR="007E5B31">
        <w:t>24,75</w:t>
      </w:r>
      <w:r>
        <w:t xml:space="preserve"> %, čo je výsledok akceptovateľný.</w:t>
      </w:r>
    </w:p>
    <w:p w14:paraId="52E4D18C" w14:textId="77777777" w:rsidR="000530CB" w:rsidRDefault="000530CB" w:rsidP="00A436E4">
      <w:pPr>
        <w:spacing w:line="360" w:lineRule="auto"/>
        <w:jc w:val="both"/>
      </w:pPr>
    </w:p>
    <w:p w14:paraId="6FB37820" w14:textId="584B545A" w:rsidR="000530CB" w:rsidRPr="000530CB" w:rsidRDefault="000530CB" w:rsidP="00A436E4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Otázky</w:t>
      </w:r>
      <w:r w:rsidR="007E5B31">
        <w:rPr>
          <w:b/>
          <w:bCs/>
        </w:rPr>
        <w:t xml:space="preserve"> na ústnu obhajobu:</w:t>
      </w:r>
    </w:p>
    <w:p w14:paraId="13D790BD" w14:textId="5B1F6F64" w:rsidR="000530CB" w:rsidRDefault="007E5B31" w:rsidP="00A436E4">
      <w:pPr>
        <w:spacing w:line="360" w:lineRule="auto"/>
        <w:jc w:val="both"/>
      </w:pPr>
      <w:r>
        <w:t>Vyjadrite sa k</w:t>
      </w:r>
      <w:r w:rsidR="00B12812">
        <w:t> </w:t>
      </w:r>
      <w:r>
        <w:t>otázke</w:t>
      </w:r>
      <w:r w:rsidR="00B12812">
        <w:t xml:space="preserve"> </w:t>
      </w:r>
      <w:proofErr w:type="spellStart"/>
      <w:r w:rsidR="00B12812">
        <w:t>vyporiadaniu</w:t>
      </w:r>
      <w:proofErr w:type="spellEnd"/>
      <w:r w:rsidR="00B12812">
        <w:t xml:space="preserve"> majetkového spoločenstva manželov a jeho špecifikám v nemeckej právnej úprave</w:t>
      </w:r>
      <w:r>
        <w:t>.</w:t>
      </w:r>
    </w:p>
    <w:p w14:paraId="68ACBBEC" w14:textId="7320245A" w:rsidR="00C0118D" w:rsidRDefault="00C0118D" w:rsidP="00A436E4">
      <w:pPr>
        <w:spacing w:line="360" w:lineRule="auto"/>
        <w:jc w:val="both"/>
      </w:pPr>
    </w:p>
    <w:p w14:paraId="331F77A6" w14:textId="77777777" w:rsidR="00176A72" w:rsidRDefault="00176A72" w:rsidP="00A436E4">
      <w:pPr>
        <w:spacing w:line="360" w:lineRule="auto"/>
        <w:jc w:val="both"/>
      </w:pPr>
    </w:p>
    <w:p w14:paraId="61C6014F" w14:textId="482E10F4" w:rsidR="00C0118D" w:rsidRPr="00C0118D" w:rsidRDefault="00C0118D" w:rsidP="00A436E4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Celkové slovné zhodnotenie práce:</w:t>
      </w:r>
    </w:p>
    <w:p w14:paraId="1B279A4C" w14:textId="77777777" w:rsidR="007E5B31" w:rsidRDefault="007E5B31" w:rsidP="00A436E4">
      <w:pPr>
        <w:spacing w:line="360" w:lineRule="auto"/>
        <w:jc w:val="both"/>
      </w:pPr>
      <w:r>
        <w:t xml:space="preserve">Predložená habilitačná práca JUDr. Juraja Takáča, PhD., na tému „Modifikácia bezpodielového spoluvlastníctva manželov a jeho zánik za trvania manželstva“, je vypracovaná ako po obsahovej, tak i po formálnej stránke na požadovanej vedeckej úrovni a prináša nové poznatky a závery. Autor preukázal, že je schopný prostredníctvom knižných prameňov, odborných a vedeckých článkov, právnych predpisov i súdnych rozhodnutí formulovať samostatný odborný text a vlastné úsudky na skúmanú problematiku. Autor práce preukázal schopnosť vedeckej analýzy problémov, ako aj formulovanie užitočných návrhov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lege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ferenda</w:t>
      </w:r>
      <w:proofErr w:type="spellEnd"/>
      <w:r>
        <w:rPr>
          <w:i/>
          <w:iCs/>
        </w:rPr>
        <w:t>.</w:t>
      </w:r>
      <w:r>
        <w:t xml:space="preserve"> Vzhľadom na vyššie uvedené preto posudzovanú prácu</w:t>
      </w:r>
    </w:p>
    <w:p w14:paraId="2F4F442F" w14:textId="77777777" w:rsidR="007E5B31" w:rsidRDefault="007E5B31" w:rsidP="00A436E4">
      <w:pPr>
        <w:spacing w:line="360" w:lineRule="auto"/>
        <w:jc w:val="both"/>
      </w:pPr>
    </w:p>
    <w:p w14:paraId="192D8A2D" w14:textId="77777777" w:rsidR="007E5B31" w:rsidRPr="007E5B31" w:rsidRDefault="007E5B31" w:rsidP="00A436E4">
      <w:pPr>
        <w:spacing w:line="360" w:lineRule="auto"/>
        <w:jc w:val="center"/>
        <w:rPr>
          <w:spacing w:val="20"/>
        </w:rPr>
      </w:pPr>
      <w:r w:rsidRPr="007E5B31">
        <w:rPr>
          <w:spacing w:val="20"/>
        </w:rPr>
        <w:t>odporúčam prijať</w:t>
      </w:r>
    </w:p>
    <w:p w14:paraId="4C366BBC" w14:textId="77777777" w:rsidR="007E5B31" w:rsidRDefault="007E5B31" w:rsidP="00A436E4">
      <w:pPr>
        <w:spacing w:line="360" w:lineRule="auto"/>
        <w:jc w:val="center"/>
      </w:pPr>
    </w:p>
    <w:p w14:paraId="6DA72AED" w14:textId="7DFE2064" w:rsidR="00C0118D" w:rsidRPr="007E5B31" w:rsidRDefault="007E5B31" w:rsidP="00A436E4">
      <w:pPr>
        <w:spacing w:line="360" w:lineRule="auto"/>
        <w:jc w:val="both"/>
      </w:pPr>
      <w:r>
        <w:t>na ústnu obhajobu a po jej úspešnom absolvovaní a po úspešnom absolvovaní habilitačnej prednášky navrhujem udeliť JUDr. Jurajovi Takáčovi, PhD., vedecko-pedagogický titul „docent“ v odbore habilitačného a inauguračného konania občianske právo.</w:t>
      </w:r>
    </w:p>
    <w:p w14:paraId="1117605E" w14:textId="77777777" w:rsidR="00C0118D" w:rsidRDefault="00C0118D" w:rsidP="00A436E4">
      <w:pPr>
        <w:spacing w:line="360" w:lineRule="auto"/>
        <w:jc w:val="both"/>
      </w:pPr>
    </w:p>
    <w:p w14:paraId="12AE7723" w14:textId="77777777" w:rsidR="006D111D" w:rsidRPr="00F17A84" w:rsidRDefault="006D111D" w:rsidP="00A436E4">
      <w:pPr>
        <w:spacing w:line="360" w:lineRule="auto"/>
        <w:rPr>
          <w:szCs w:val="24"/>
        </w:rPr>
      </w:pPr>
    </w:p>
    <w:p w14:paraId="4A1D4278" w14:textId="55073EFE" w:rsidR="006D111D" w:rsidRPr="00F17A84" w:rsidRDefault="00564CAD" w:rsidP="00A436E4">
      <w:pPr>
        <w:spacing w:line="360" w:lineRule="auto"/>
        <w:rPr>
          <w:szCs w:val="24"/>
        </w:rPr>
      </w:pPr>
      <w:r>
        <w:rPr>
          <w:szCs w:val="24"/>
        </w:rPr>
        <w:t xml:space="preserve">V Banskej Bystrici, dňa </w:t>
      </w:r>
      <w:r w:rsidR="007E5B31">
        <w:rPr>
          <w:szCs w:val="24"/>
        </w:rPr>
        <w:t>2</w:t>
      </w:r>
      <w:r w:rsidR="003001FC">
        <w:rPr>
          <w:szCs w:val="24"/>
        </w:rPr>
        <w:t>0</w:t>
      </w:r>
      <w:r>
        <w:rPr>
          <w:szCs w:val="24"/>
        </w:rPr>
        <w:t xml:space="preserve">. </w:t>
      </w:r>
      <w:r w:rsidR="007E5B31">
        <w:rPr>
          <w:szCs w:val="24"/>
        </w:rPr>
        <w:t>mája</w:t>
      </w:r>
      <w:r>
        <w:rPr>
          <w:szCs w:val="24"/>
        </w:rPr>
        <w:t xml:space="preserve"> 2023</w:t>
      </w:r>
    </w:p>
    <w:p w14:paraId="1F8343A5" w14:textId="77777777" w:rsidR="00564CAD" w:rsidRDefault="00564CAD" w:rsidP="00A436E4">
      <w:pPr>
        <w:spacing w:line="360" w:lineRule="auto"/>
        <w:jc w:val="right"/>
      </w:pPr>
    </w:p>
    <w:p w14:paraId="5F8BDDBE" w14:textId="237BB7B5" w:rsidR="007A29C6" w:rsidRPr="00F17A84" w:rsidRDefault="00393416" w:rsidP="00A436E4">
      <w:pPr>
        <w:spacing w:line="360" w:lineRule="auto"/>
        <w:jc w:val="right"/>
      </w:pPr>
      <w:r>
        <w:t>prof</w:t>
      </w:r>
      <w:r w:rsidR="00564CAD">
        <w:t xml:space="preserve">. JUDr. Daniela </w:t>
      </w:r>
      <w:proofErr w:type="spellStart"/>
      <w:r w:rsidR="00564CAD">
        <w:t>Gandžalová</w:t>
      </w:r>
      <w:proofErr w:type="spellEnd"/>
      <w:r w:rsidR="00564CAD">
        <w:t>, PhD.</w:t>
      </w:r>
    </w:p>
    <w:sectPr w:rsidR="007A29C6" w:rsidRPr="00F17A84" w:rsidSect="00A436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C474B" w14:textId="77777777" w:rsidR="008975F9" w:rsidRDefault="008975F9" w:rsidP="00F17A84">
      <w:r>
        <w:separator/>
      </w:r>
    </w:p>
  </w:endnote>
  <w:endnote w:type="continuationSeparator" w:id="0">
    <w:p w14:paraId="37DCD621" w14:textId="77777777" w:rsidR="008975F9" w:rsidRDefault="008975F9" w:rsidP="00F1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703670039"/>
      <w:docPartObj>
        <w:docPartGallery w:val="Page Numbers (Bottom of Page)"/>
        <w:docPartUnique/>
      </w:docPartObj>
    </w:sdtPr>
    <w:sdtContent>
      <w:p w14:paraId="2817D40F" w14:textId="502B937E" w:rsidR="00A436E4" w:rsidRPr="00A436E4" w:rsidRDefault="00A436E4">
        <w:pPr>
          <w:pStyle w:val="Pta"/>
          <w:jc w:val="center"/>
          <w:rPr>
            <w:sz w:val="20"/>
          </w:rPr>
        </w:pPr>
        <w:r w:rsidRPr="00A436E4">
          <w:rPr>
            <w:sz w:val="20"/>
          </w:rPr>
          <w:fldChar w:fldCharType="begin"/>
        </w:r>
        <w:r w:rsidRPr="00A436E4">
          <w:rPr>
            <w:sz w:val="20"/>
          </w:rPr>
          <w:instrText>PAGE   \* MERGEFORMAT</w:instrText>
        </w:r>
        <w:r w:rsidRPr="00A436E4">
          <w:rPr>
            <w:sz w:val="20"/>
          </w:rPr>
          <w:fldChar w:fldCharType="separate"/>
        </w:r>
        <w:r w:rsidR="00B12812">
          <w:rPr>
            <w:noProof/>
            <w:sz w:val="20"/>
          </w:rPr>
          <w:t>6</w:t>
        </w:r>
        <w:r w:rsidRPr="00A436E4">
          <w:rPr>
            <w:sz w:val="20"/>
          </w:rPr>
          <w:fldChar w:fldCharType="end"/>
        </w:r>
      </w:p>
    </w:sdtContent>
  </w:sdt>
  <w:p w14:paraId="5B107EAA" w14:textId="77777777" w:rsidR="00A436E4" w:rsidRPr="00A436E4" w:rsidRDefault="00A436E4">
    <w:pPr>
      <w:pStyle w:val="Pt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4114" w14:textId="77777777" w:rsidR="008975F9" w:rsidRDefault="008975F9" w:rsidP="00F17A84">
      <w:r>
        <w:separator/>
      </w:r>
    </w:p>
  </w:footnote>
  <w:footnote w:type="continuationSeparator" w:id="0">
    <w:p w14:paraId="0102F56C" w14:textId="77777777" w:rsidR="008975F9" w:rsidRDefault="008975F9" w:rsidP="00F17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7B5"/>
    <w:multiLevelType w:val="hybridMultilevel"/>
    <w:tmpl w:val="E2C671DC"/>
    <w:lvl w:ilvl="0" w:tplc="AAD649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C44FC"/>
    <w:multiLevelType w:val="hybridMultilevel"/>
    <w:tmpl w:val="6DFCCB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71FFF"/>
    <w:multiLevelType w:val="hybridMultilevel"/>
    <w:tmpl w:val="EA6010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015C1"/>
    <w:multiLevelType w:val="hybridMultilevel"/>
    <w:tmpl w:val="2A0EB3EA"/>
    <w:lvl w:ilvl="0" w:tplc="4B3829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58F6347"/>
    <w:multiLevelType w:val="hybridMultilevel"/>
    <w:tmpl w:val="CA0A66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6276765">
    <w:abstractNumId w:val="3"/>
  </w:num>
  <w:num w:numId="2" w16cid:durableId="2143425452">
    <w:abstractNumId w:val="0"/>
  </w:num>
  <w:num w:numId="3" w16cid:durableId="6257702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4846967">
    <w:abstractNumId w:val="0"/>
  </w:num>
  <w:num w:numId="5" w16cid:durableId="2098552324">
    <w:abstractNumId w:val="2"/>
  </w:num>
  <w:num w:numId="6" w16cid:durableId="13546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A7"/>
    <w:rsid w:val="00006038"/>
    <w:rsid w:val="00021766"/>
    <w:rsid w:val="00044C3D"/>
    <w:rsid w:val="00044D82"/>
    <w:rsid w:val="0005122C"/>
    <w:rsid w:val="000530CB"/>
    <w:rsid w:val="00083327"/>
    <w:rsid w:val="000B05F4"/>
    <w:rsid w:val="000D6172"/>
    <w:rsid w:val="000E6F57"/>
    <w:rsid w:val="00116632"/>
    <w:rsid w:val="00176A72"/>
    <w:rsid w:val="001A3FB0"/>
    <w:rsid w:val="001B3E57"/>
    <w:rsid w:val="002052C8"/>
    <w:rsid w:val="00226F55"/>
    <w:rsid w:val="0023128F"/>
    <w:rsid w:val="0026064F"/>
    <w:rsid w:val="00265913"/>
    <w:rsid w:val="00293949"/>
    <w:rsid w:val="0029574D"/>
    <w:rsid w:val="00296ABB"/>
    <w:rsid w:val="002A3034"/>
    <w:rsid w:val="002E5325"/>
    <w:rsid w:val="003001FC"/>
    <w:rsid w:val="00300D60"/>
    <w:rsid w:val="003372BB"/>
    <w:rsid w:val="00367DE0"/>
    <w:rsid w:val="00393416"/>
    <w:rsid w:val="003D6D70"/>
    <w:rsid w:val="003F6354"/>
    <w:rsid w:val="00404780"/>
    <w:rsid w:val="004605AD"/>
    <w:rsid w:val="00491ED3"/>
    <w:rsid w:val="004A34C8"/>
    <w:rsid w:val="004B5097"/>
    <w:rsid w:val="004C7EDD"/>
    <w:rsid w:val="004D05FC"/>
    <w:rsid w:val="004D1B9A"/>
    <w:rsid w:val="004E5A53"/>
    <w:rsid w:val="00547E53"/>
    <w:rsid w:val="00564CAD"/>
    <w:rsid w:val="005669A6"/>
    <w:rsid w:val="005A04BC"/>
    <w:rsid w:val="005B0871"/>
    <w:rsid w:val="005B1E5F"/>
    <w:rsid w:val="005F744E"/>
    <w:rsid w:val="00643CE3"/>
    <w:rsid w:val="00656288"/>
    <w:rsid w:val="00670E17"/>
    <w:rsid w:val="006818B0"/>
    <w:rsid w:val="00692D0E"/>
    <w:rsid w:val="006D111D"/>
    <w:rsid w:val="006F7DE6"/>
    <w:rsid w:val="00714424"/>
    <w:rsid w:val="00736CFA"/>
    <w:rsid w:val="0075040A"/>
    <w:rsid w:val="0077090A"/>
    <w:rsid w:val="007A1DF6"/>
    <w:rsid w:val="007A29C6"/>
    <w:rsid w:val="007A4FA8"/>
    <w:rsid w:val="007E5B31"/>
    <w:rsid w:val="007E6A48"/>
    <w:rsid w:val="007F3934"/>
    <w:rsid w:val="00820324"/>
    <w:rsid w:val="008536E1"/>
    <w:rsid w:val="00894164"/>
    <w:rsid w:val="008975F9"/>
    <w:rsid w:val="008B217F"/>
    <w:rsid w:val="008D1EC1"/>
    <w:rsid w:val="00913DA7"/>
    <w:rsid w:val="009157F8"/>
    <w:rsid w:val="009278BC"/>
    <w:rsid w:val="00966D28"/>
    <w:rsid w:val="00985757"/>
    <w:rsid w:val="0098748A"/>
    <w:rsid w:val="009F3D57"/>
    <w:rsid w:val="00A05063"/>
    <w:rsid w:val="00A14B4C"/>
    <w:rsid w:val="00A36B52"/>
    <w:rsid w:val="00A436E4"/>
    <w:rsid w:val="00A521EE"/>
    <w:rsid w:val="00A84D6F"/>
    <w:rsid w:val="00A85B22"/>
    <w:rsid w:val="00A909E0"/>
    <w:rsid w:val="00AA0547"/>
    <w:rsid w:val="00B0420F"/>
    <w:rsid w:val="00B12812"/>
    <w:rsid w:val="00B601AF"/>
    <w:rsid w:val="00B82066"/>
    <w:rsid w:val="00BD4216"/>
    <w:rsid w:val="00BF76B0"/>
    <w:rsid w:val="00C0118D"/>
    <w:rsid w:val="00C24A52"/>
    <w:rsid w:val="00C26597"/>
    <w:rsid w:val="00CE1012"/>
    <w:rsid w:val="00CE2108"/>
    <w:rsid w:val="00D03CCA"/>
    <w:rsid w:val="00D06FCF"/>
    <w:rsid w:val="00D27FB7"/>
    <w:rsid w:val="00D60567"/>
    <w:rsid w:val="00DC400F"/>
    <w:rsid w:val="00DF66F7"/>
    <w:rsid w:val="00E43658"/>
    <w:rsid w:val="00E64C0A"/>
    <w:rsid w:val="00E84417"/>
    <w:rsid w:val="00EB103D"/>
    <w:rsid w:val="00ED70EF"/>
    <w:rsid w:val="00F17A84"/>
    <w:rsid w:val="00F74DBA"/>
    <w:rsid w:val="00F82509"/>
    <w:rsid w:val="00F94E8D"/>
    <w:rsid w:val="00F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B1456"/>
  <w15:docId w15:val="{D7D5DA0F-A193-4205-AA5D-9F32E5D4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111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111D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6D111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6D111D"/>
    <w:pPr>
      <w:ind w:left="720"/>
      <w:contextualSpacing/>
    </w:pPr>
  </w:style>
  <w:style w:type="paragraph" w:customStyle="1" w:styleId="Default">
    <w:name w:val="Default"/>
    <w:rsid w:val="006D111D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17A84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17A8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17A84"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436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36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436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36E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Soskova Ivana</dc:creator>
  <cp:keywords/>
  <dc:description/>
  <cp:lastModifiedBy>Lihanova Michaela, Mgr.</cp:lastModifiedBy>
  <cp:revision>2</cp:revision>
  <cp:lastPrinted>2023-06-07T11:44:00Z</cp:lastPrinted>
  <dcterms:created xsi:type="dcterms:W3CDTF">2023-06-07T11:45:00Z</dcterms:created>
  <dcterms:modified xsi:type="dcterms:W3CDTF">2023-06-07T11:45:00Z</dcterms:modified>
</cp:coreProperties>
</file>